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pStyle w:val="37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 in Entrepreneurship</w:t>
      </w:r>
    </w:p>
    <w:tbl>
      <w:tblPr>
        <w:tblStyle w:val="165"/>
        <w:tblW w:w="9637" w:type="dxa"/>
        <w:jc w:val="center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91"/>
        <w:gridCol w:w="1757"/>
        <w:gridCol w:w="4365"/>
        <w:gridCol w:w="1020"/>
        <w:gridCol w:w="1304"/>
      </w:tblGrid>
      <w:tr w14:paraId="1C5E95B4">
        <w:trPr>
          <w:cantSplit/>
          <w:tblHeader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2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</w:rPr>
              <w:t>Semester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3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</w:rPr>
              <w:t>Course code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4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</w:rPr>
              <w:t>Course name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5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</w:rPr>
              <w:t>Credits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6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</w:rPr>
              <w:t>Type of course</w:t>
            </w:r>
          </w:p>
        </w:tc>
      </w:tr>
      <w:tr w14:paraId="1B4BE5C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7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8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MINOR301K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9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Entrepreneurial Opportunity and Venture Creation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A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B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Theory</w:t>
            </w:r>
          </w:p>
        </w:tc>
      </w:tr>
      <w:tr w14:paraId="31F869D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C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4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D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MINOR401K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Technology Business Models and Product Commercialisation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0F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0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Theory</w:t>
            </w:r>
          </w:p>
        </w:tc>
      </w:tr>
      <w:tr w14:paraId="1299582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1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5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2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MINOR501K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3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Leadership and Influence in Entrepreneurial Teams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4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5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Theory</w:t>
            </w:r>
          </w:p>
        </w:tc>
      </w:tr>
      <w:tr w14:paraId="2A89478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6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6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7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MINOR601K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8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Startup Finance and Customer Funded Growth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9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A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Theory</w:t>
            </w:r>
          </w:p>
        </w:tc>
      </w:tr>
      <w:tr w14:paraId="0F8863F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B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7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C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MINOR701K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D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Intellectual Property for Entrepreneurial Ventures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1F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Theory</w:t>
            </w:r>
          </w:p>
        </w:tc>
      </w:tr>
      <w:tr w14:paraId="2742861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20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8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21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MINOR801K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22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Corporate Innovation Strategy and Venture Investment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23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00024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rtl w:val="0"/>
              </w:rPr>
              <w:t>Theory</w:t>
            </w:r>
          </w:p>
        </w:tc>
      </w:tr>
    </w:tbl>
    <w:p w14:paraId="0000002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Total: 18 additional credits | B.Tech in Electronics and Communication Engineering</w:t>
      </w:r>
    </w:p>
    <w:p w14:paraId="0000002D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000063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MINOR301K Entrepreneurial Opportunity and Venture Creation</w:t>
      </w:r>
    </w:p>
    <w:p w14:paraId="0000006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Semester 3 | 3 credits | Theory | </w:t>
      </w:r>
    </w:p>
    <w:p w14:paraId="00000066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Course objectives</w:t>
      </w:r>
    </w:p>
    <w:p w14:paraId="0000006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To develop a structured understanding of entrepreneurial opportunities and venture formation. To evaluate the personal, market, team and resource choices that shape a venture from ideation to exit.</w:t>
      </w:r>
    </w:p>
    <w:p w14:paraId="00000068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Course outcomes</w:t>
      </w:r>
    </w:p>
    <w:p w14:paraId="0000006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On successful completion, the student will be able to:</w:t>
      </w:r>
    </w:p>
    <w:p w14:paraId="0000006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CO1. </w:t>
      </w:r>
      <w:r>
        <w:rPr>
          <w:rFonts w:hint="default" w:ascii="Calibri" w:hAnsi="Calibri" w:cs="Calibri"/>
          <w:rtl w:val="0"/>
        </w:rPr>
        <w:t xml:space="preserve">Analyse entrepreneurial motivations and decision patterns in a supplied case. </w:t>
      </w:r>
    </w:p>
    <w:p w14:paraId="0000006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CO2. </w:t>
      </w:r>
      <w:r>
        <w:rPr>
          <w:rFonts w:hint="default" w:ascii="Calibri" w:hAnsi="Calibri" w:cs="Calibri"/>
          <w:rtl w:val="0"/>
        </w:rPr>
        <w:t xml:space="preserve">Evaluate an opportunity using industry, market, competition and value criteria. </w:t>
      </w:r>
    </w:p>
    <w:p w14:paraId="0000006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CO3. </w:t>
      </w:r>
      <w:r>
        <w:rPr>
          <w:rFonts w:hint="default" w:ascii="Calibri" w:hAnsi="Calibri" w:cs="Calibri"/>
          <w:rtl w:val="0"/>
        </w:rPr>
        <w:t xml:space="preserve">Justify initial team, funding and sales choices for a stated venture. </w:t>
      </w:r>
    </w:p>
    <w:p w14:paraId="0000006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CO4. </w:t>
      </w:r>
      <w:r>
        <w:rPr>
          <w:rFonts w:hint="default" w:ascii="Calibri" w:hAnsi="Calibri" w:cs="Calibri"/>
          <w:rtl w:val="0"/>
        </w:rPr>
        <w:t xml:space="preserve">Evaluate launch, people, internationalisation and exit decisions against stated constraints. </w:t>
      </w:r>
    </w:p>
    <w:p w14:paraId="0000006E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Detailed syllabus</w:t>
      </w:r>
    </w:p>
    <w:p w14:paraId="0000006F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1 Entrepreneurial thinking</w:t>
      </w:r>
    </w:p>
    <w:p w14:paraId="0000007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Corporate entrepreneurship and its enabling structures; opportunity-analysis framework; decision styles, achievement motivation, optimism, self-efficacy, ambiguity, risk and social capital. Written reflection on entrepreneurial behaviour.</w:t>
      </w:r>
    </w:p>
    <w:p w14:paraId="00000072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2 Industry and market opportunities</w:t>
      </w:r>
    </w:p>
    <w:p w14:paraId="0000007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Industry knowledge and demand conditions; lifecycle, capital intensity, concentration and company size; demographic, technological, societal and regulatory change; learning curves, complementary assets and competitor reputation.</w:t>
      </w:r>
    </w:p>
    <w:p w14:paraId="00000075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3 Value innovation and opportunity judgement</w:t>
      </w:r>
    </w:p>
    <w:p w14:paraId="0000007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Eliminating, reducing, raising and creating value factors; problem relevance, stakeholder value, sustainable advantage and team readiness. Written opportunity and value-curve appraisal.</w:t>
      </w:r>
    </w:p>
    <w:p w14:paraId="00000078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000079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MINOR301K Syllabus and learning resources</w:t>
      </w:r>
    </w:p>
    <w:p w14:paraId="0000007A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4 Personal fit and venture formation</w:t>
      </w:r>
    </w:p>
    <w:p w14:paraId="0000007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Values, beliefs and entrepreneurial trade-offs; creativity and design thinking; technology S-curves, founding teams and initial financing choices. Written commercial proposition and idea analysis.</w:t>
      </w:r>
    </w:p>
    <w:p w14:paraId="0000007D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5 Cash and early selling</w:t>
      </w:r>
    </w:p>
    <w:p w14:paraId="0000007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Investor negotiations, cash management, sales strategy, prospect access and rapport; analysis of an early sales approach.</w:t>
      </w:r>
    </w:p>
    <w:p w14:paraId="00000080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6 Launch and maturity</w:t>
      </w:r>
    </w:p>
    <w:p w14:paraId="0000008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Launch monitoring and cohort analysis; first employees, team management, international expansion and exit alternatives; interpretation of success and failure cases.</w:t>
      </w:r>
    </w:p>
    <w:p w14:paraId="00000083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Books</w:t>
      </w:r>
    </w:p>
    <w:p w14:paraId="0000008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1. </w:t>
      </w:r>
      <w:r>
        <w:rPr>
          <w:rFonts w:hint="default" w:ascii="Calibri" w:hAnsi="Calibri" w:cs="Calibri"/>
          <w:rtl w:val="0"/>
        </w:rPr>
        <w:t>Robert D. Hisrich, Michael P. Peters and Dean A. Shepherd. Entrepreneurship. McGraw-Hill Education, 11th edition, 2020.</w:t>
      </w:r>
    </w:p>
    <w:p w14:paraId="0000008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2. </w:t>
      </w:r>
      <w:r>
        <w:rPr>
          <w:rFonts w:hint="default" w:ascii="Calibri" w:hAnsi="Calibri" w:cs="Calibri"/>
          <w:rtl w:val="0"/>
        </w:rPr>
        <w:t>James V. Green. The Opportunity Analysis Canvas. Venture Artisans, 3rd edition, 2015.</w:t>
      </w:r>
    </w:p>
    <w:p w14:paraId="00000087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Required online courses</w:t>
      </w:r>
    </w:p>
    <w:p w14:paraId="0000008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Developing the Opportunity for Corporate Entrepreneurs | University of Maryland, College Park; James V. Green | </w:t>
      </w:r>
    </w:p>
    <w:p w14:paraId="00000089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"https://www.coursera.org/learn/corporate-entrepreneurs-opportunity"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https://www.coursera.org/learn/corporate-entrepreneurs-opportunity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08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Entrepreneurship Strategy: From Ideation to Exit | HEC Paris; Ambroise Huret | </w:t>
      </w:r>
    </w:p>
    <w:p w14:paraId="0000008B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"https://www.coursera.org/learn/entrepreneurship-strategy"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https://www.coursera.org/learn/entrepreneurship-strategy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08D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00008E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MINOR401K Technology Business Models and Product Commercialisation</w:t>
      </w:r>
    </w:p>
    <w:p w14:paraId="0000008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Semester 4 | 3 credits | Theory | </w:t>
      </w:r>
    </w:p>
    <w:p w14:paraId="00000091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Course objectives</w:t>
      </w:r>
    </w:p>
    <w:p w14:paraId="0000009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To connect technology-based value creation with product, brand and digital-market decisions. To evaluate business models and commercialisation choices using supplied customer and market evidence.</w:t>
      </w:r>
    </w:p>
    <w:p w14:paraId="00000093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Course outcomes</w:t>
      </w:r>
    </w:p>
    <w:p w14:paraId="0000009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On successful completion, the student will be able to:</w:t>
      </w:r>
    </w:p>
    <w:p w14:paraId="0000009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CO1. </w:t>
      </w:r>
      <w:r>
        <w:rPr>
          <w:rFonts w:hint="default" w:ascii="Calibri" w:hAnsi="Calibri" w:cs="Calibri"/>
          <w:rtl w:val="0"/>
        </w:rPr>
        <w:t xml:space="preserve">Analyse a technology business model and its response to digital transformation. </w:t>
      </w:r>
    </w:p>
    <w:p w14:paraId="0000009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CO2. </w:t>
      </w:r>
      <w:r>
        <w:rPr>
          <w:rFonts w:hint="default" w:ascii="Calibri" w:hAnsi="Calibri" w:cs="Calibri"/>
          <w:rtl w:val="0"/>
        </w:rPr>
        <w:t xml:space="preserve">Apply product-demand and positioning concepts to a supplied offering. </w:t>
      </w:r>
    </w:p>
    <w:p w14:paraId="0000009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CO3. </w:t>
      </w:r>
      <w:r>
        <w:rPr>
          <w:rFonts w:hint="default" w:ascii="Calibri" w:hAnsi="Calibri" w:cs="Calibri"/>
          <w:rtl w:val="0"/>
        </w:rPr>
        <w:t xml:space="preserve">Evaluate brand architecture, portfolio and customer-experience choices. </w:t>
      </w:r>
    </w:p>
    <w:p w14:paraId="0000009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CO4. </w:t>
      </w:r>
      <w:r>
        <w:rPr>
          <w:rFonts w:hint="default" w:ascii="Calibri" w:hAnsi="Calibri" w:cs="Calibri"/>
          <w:rtl w:val="0"/>
        </w:rPr>
        <w:t xml:space="preserve">Justify a digital engagement and service strategy using audience, trust and value criteria. </w:t>
      </w:r>
    </w:p>
    <w:p w14:paraId="00000099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Detailed syllabus</w:t>
      </w:r>
    </w:p>
    <w:p w14:paraId="0000009A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1 Technology and business models</w:t>
      </w:r>
    </w:p>
    <w:p w14:paraId="0000009B">
      <w:pPr>
        <w:keepLines/>
        <w:jc w:val="both"/>
        <w:rPr>
          <w:rFonts w:hint="default" w:ascii="Calibri" w:hAnsi="Calibri" w:cs="Calibri"/>
          <w:rtl w:val="0"/>
        </w:rPr>
      </w:pPr>
      <w:r>
        <w:rPr>
          <w:rFonts w:hint="default" w:ascii="Calibri" w:hAnsi="Calibri" w:cs="Calibri"/>
          <w:rtl w:val="0"/>
        </w:rPr>
        <w:t>Technology–business relationships; model components and technology-sector examples; lessons for engineering ventures and changes in models over time.</w:t>
      </w:r>
    </w:p>
    <w:p w14:paraId="5B27FCA7">
      <w:pPr>
        <w:keepLines/>
        <w:jc w:val="both"/>
        <w:rPr>
          <w:rFonts w:hint="default" w:ascii="Calibri" w:hAnsi="Calibri" w:cs="Calibri"/>
          <w:rtl w:val="0"/>
        </w:rPr>
      </w:pPr>
    </w:p>
    <w:p w14:paraId="0000009D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2 Transformation and ecosystems</w:t>
      </w:r>
    </w:p>
    <w:p w14:paraId="0000009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Disruption; digitisation versus digitalisation; data, technology trends and shorter innovation cycles; design thinking. Ecosystems, partnerships, pivots and criteria for effective models.</w:t>
      </w:r>
    </w:p>
    <w:p w14:paraId="0000009F">
      <w:pPr>
        <w:keepLines/>
        <w:jc w:val="both"/>
        <w:rPr>
          <w:rFonts w:hint="default" w:ascii="Calibri" w:hAnsi="Calibri" w:cs="Calibri"/>
        </w:rPr>
      </w:pPr>
    </w:p>
    <w:p w14:paraId="000000A0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3 Product planning and brand positioning</w:t>
      </w:r>
    </w:p>
    <w:p w14:paraId="000000A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Product mix, lifecycle, demand estimation, development, launch and pipeline; competitor analysis, brand essence, values and positioning; appraisal of brand strategy.</w:t>
      </w:r>
    </w:p>
    <w:p w14:paraId="000000A3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0000A4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MINOR401K Syllabus and learning resources</w:t>
      </w:r>
    </w:p>
    <w:p w14:paraId="000000A5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4 Brand architecture and experience</w:t>
      </w:r>
    </w:p>
    <w:p w14:paraId="000000A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Brand equity, naming, branded-house, house-of-brands and hybrid structures; portfolio decisions; purchase funnels, journeys and touchpoints; employee engagement and internal brand measures.</w:t>
      </w:r>
    </w:p>
    <w:p w14:paraId="000000A8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5 Digital discovery and content</w:t>
      </w:r>
    </w:p>
    <w:p w14:paraId="000000A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Omnichannel discovery, search behaviour and trust; digital experiences in physical channels. Content for people, search engines and generative AI; visibility, sharing, virality and brand interactions.</w:t>
      </w:r>
    </w:p>
    <w:p w14:paraId="000000AB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6 Communities and digital service</w:t>
      </w:r>
    </w:p>
    <w:p w14:paraId="000000A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Paid and organic media, content calendars, influencer selection and community trust. AI-supported service, personalisation, empathy and human–AI collaboration; written service-strategy assessment.</w:t>
      </w:r>
    </w:p>
    <w:p w14:paraId="000000AE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Books</w:t>
      </w:r>
    </w:p>
    <w:p w14:paraId="000000A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1. </w:t>
      </w:r>
      <w:r>
        <w:rPr>
          <w:rFonts w:hint="default" w:ascii="Calibri" w:hAnsi="Calibri" w:cs="Calibri"/>
          <w:rtl w:val="0"/>
        </w:rPr>
        <w:t>Alexander Osterwalder and Yves Pigneur. Business Model Generation: A Handbook for Visionaries, Game Changers, and Challengers. John Wiley &amp; Sons, 1st edition, 2010.</w:t>
      </w:r>
    </w:p>
    <w:p w14:paraId="000000B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2. </w:t>
      </w:r>
      <w:r>
        <w:rPr>
          <w:rFonts w:hint="default" w:ascii="Calibri" w:hAnsi="Calibri" w:cs="Calibri"/>
          <w:rtl w:val="0"/>
        </w:rPr>
        <w:t>Philip Kotler, Kevin Lane Keller and Alexander Chernev. Marketing Management. Pearson, 16th edition, 2022 copyright (published 2021).</w:t>
      </w:r>
    </w:p>
    <w:p w14:paraId="000000B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3. </w:t>
      </w:r>
      <w:r>
        <w:rPr>
          <w:rFonts w:hint="default" w:ascii="Calibri" w:hAnsi="Calibri" w:cs="Calibri"/>
          <w:rtl w:val="0"/>
        </w:rPr>
        <w:t>Dave Chaffey, Fiona Ellis-Chadwick and Majd Abed-Rabbo. Digital Marketing. Pearson, 9th edition, published 2025 (publisher catalogue copyright 2026).</w:t>
      </w:r>
    </w:p>
    <w:p w14:paraId="000000B3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Required online courses</w:t>
      </w:r>
    </w:p>
    <w:p w14:paraId="000000B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Business Models for Technology Innovators | Arm; Arm Education |</w:t>
      </w:r>
    </w:p>
    <w:p w14:paraId="000000B5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"https://www.coursera.org/learn/business-models-for-technology-innovators"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https://www.coursera.org/learn/business-models-for-technology-innovators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0B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Brand and Product Management | IE Business School; Luis Rodriguez Baptista | </w:t>
      </w:r>
    </w:p>
    <w:p w14:paraId="000000B7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"https://www.coursera.org/learn/brand-management"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https://www.coursera.org/learn/brand-management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0B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Digital Marketing: Customer Engagement Strategy | University of Illinois Urbana-Champaign; Nathan Yang | </w:t>
      </w:r>
    </w:p>
    <w:p w14:paraId="000000B9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"https://www.coursera.org/learn/marketing-analytics"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https://www.coursera.org/learn/marketing-analytics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0BB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0000BC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MINOR501K Leadership and Influence in Entrepreneurial Teams</w:t>
      </w:r>
    </w:p>
    <w:p w14:paraId="000000B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Semester 5 | 3 credits | Theory | </w:t>
      </w:r>
    </w:p>
    <w:p w14:paraId="000000BF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Course objectives</w:t>
      </w:r>
    </w:p>
    <w:p w14:paraId="000000C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To explain how entrepreneurial leaders align motivation, team structure and influence. To evaluate people-related decisions using behavioural concepts and written analysis of team situations.</w:t>
      </w:r>
    </w:p>
    <w:p w14:paraId="000000C1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Course outcomes</w:t>
      </w:r>
    </w:p>
    <w:p w14:paraId="000000C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On successful completion, the student will be able to:</w:t>
      </w:r>
    </w:p>
    <w:p w14:paraId="000000C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CO1. </w:t>
      </w:r>
      <w:r>
        <w:rPr>
          <w:rFonts w:hint="default" w:ascii="Calibri" w:hAnsi="Calibri" w:cs="Calibri"/>
          <w:rtl w:val="0"/>
        </w:rPr>
        <w:t xml:space="preserve">Apply vision and goal-setting principles to a specified team situation. </w:t>
      </w:r>
    </w:p>
    <w:p w14:paraId="000000C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CO2. </w:t>
      </w:r>
      <w:r>
        <w:rPr>
          <w:rFonts w:hint="default" w:ascii="Calibri" w:hAnsi="Calibri" w:cs="Calibri"/>
          <w:rtl w:val="0"/>
        </w:rPr>
        <w:t xml:space="preserve">Analyse motivation, reward and feedback problems across stated contexts. </w:t>
      </w:r>
    </w:p>
    <w:p w14:paraId="000000C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CO3. </w:t>
      </w:r>
      <w:r>
        <w:rPr>
          <w:rFonts w:hint="default" w:ascii="Calibri" w:hAnsi="Calibri" w:cs="Calibri"/>
          <w:rtl w:val="0"/>
        </w:rPr>
        <w:t xml:space="preserve">Evaluate team composition, structure and learning arrangements against performance criteria. </w:t>
      </w:r>
    </w:p>
    <w:p w14:paraId="000000C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CO4. </w:t>
      </w:r>
      <w:r>
        <w:rPr>
          <w:rFonts w:hint="default" w:ascii="Calibri" w:hAnsi="Calibri" w:cs="Calibri"/>
          <w:rtl w:val="0"/>
        </w:rPr>
        <w:t xml:space="preserve">Evaluate influence tactics and safeguards using effectiveness and ethical criteria. </w:t>
      </w:r>
    </w:p>
    <w:p w14:paraId="000000C7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Detailed syllabus</w:t>
      </w:r>
    </w:p>
    <w:p w14:paraId="000000C8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1 Vision and communication</w:t>
      </w:r>
    </w:p>
    <w:p w14:paraId="000000C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Purpose, success criteria and expected conduct; communicating a shared vision through language and nonverbal signals; leadership cases and a written vision statement.</w:t>
      </w:r>
    </w:p>
    <w:p w14:paraId="000000CB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2 Goals and meaningful work</w:t>
      </w:r>
    </w:p>
    <w:p w14:paraId="000000C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Goal–performance relationships; stretch goals, SMART goals and their limitations; autonomy, skill variety and meaningful work.</w:t>
      </w:r>
    </w:p>
    <w:p w14:paraId="000000CE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3 Motivation and rewards</w:t>
      </w:r>
    </w:p>
    <w:p w14:paraId="000000C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Needs, cultural and generational differences; satisfaction, intrinsic/extrinsic motivation and common traps. Equity, reinforcement, appraisal, critical feedback and reward–behaviour alignment.</w:t>
      </w:r>
    </w:p>
    <w:p w14:paraId="000000D1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0000D2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MINOR501K Syllabus and learning resources</w:t>
      </w:r>
    </w:p>
    <w:p w14:paraId="000000D3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4 Team composition and structure</w:t>
      </w:r>
    </w:p>
    <w:p w14:paraId="000000D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Size, diversity, values and shared goals; roles, norms, rewards, centralisation and virtual arrangements; team-charter reasoning.</w:t>
      </w:r>
    </w:p>
    <w:p w14:paraId="000000D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5 Team processes and learning</w:t>
      </w:r>
    </w:p>
    <w:p w14:paraId="000000D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Coordination, shared-information bias, social loafing, language and conflict; evaluating performance and satisfaction; psychological safety, creativity, transactive memory and learning from adversity.</w:t>
      </w:r>
    </w:p>
    <w:p w14:paraId="000000D9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6 Power and responsible influence</w:t>
      </w:r>
    </w:p>
    <w:p w14:paraId="000000D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Structural, personal and cognitive power; authority, social proof, reciprocity, scarcity and message effects. Relationships, networks, dependence and reputation; influence versus manipulation, bias reduction and defensive tactics.</w:t>
      </w:r>
    </w:p>
    <w:p w14:paraId="000000DC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Books</w:t>
      </w:r>
    </w:p>
    <w:p w14:paraId="000000D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1. </w:t>
      </w:r>
      <w:r>
        <w:rPr>
          <w:rFonts w:hint="default" w:ascii="Calibri" w:hAnsi="Calibri" w:cs="Calibri"/>
          <w:rtl w:val="0"/>
        </w:rPr>
        <w:t>Stephen P. Robbins and Timothy A. Judge. Organizational Behavior. Pearson, 19th edition, 2023 copyright (published 2022).</w:t>
      </w:r>
    </w:p>
    <w:p w14:paraId="000000DF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Required online courses</w:t>
      </w:r>
    </w:p>
    <w:p w14:paraId="000000E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Inspiring and Motivating Individuals | University of Michigan; Maxim Sytch | </w:t>
      </w:r>
    </w:p>
    <w:p w14:paraId="000000E1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"https://www.coursera.org/learn/motivate-people-teams"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https://www.coursera.org/learn/motivate-people-teams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0E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Leading Teams | University of Michigan; Maxim Sytch | </w:t>
      </w:r>
    </w:p>
    <w:p w14:paraId="000000E3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"https://www.coursera.org/learn/leading-teams"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https://www.coursera.org/learn/leading-teams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0E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Influencing People | University of Michigan; Maxim Sytch | </w:t>
      </w:r>
    </w:p>
    <w:p w14:paraId="000000E5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"https://www.coursera.org/learn/influencing-people"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https://www.coursera.org/learn/influencing-people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0E7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0000E8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MINOR601K Startup Finance and Customer Funded Growth</w:t>
      </w:r>
    </w:p>
    <w:p w14:paraId="000000E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Semester 6 | 3 credits | Theory | </w:t>
      </w:r>
    </w:p>
    <w:p w14:paraId="000000EB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Course objectives</w:t>
      </w:r>
    </w:p>
    <w:p w14:paraId="000000E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To explain how early ventures obtain and manage funding. To compare investor-funded and customer-funded growth using financial statements, funding processes and business-model evidence.</w:t>
      </w:r>
    </w:p>
    <w:p w14:paraId="000000ED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Course outcomes</w:t>
      </w:r>
    </w:p>
    <w:p w14:paraId="000000E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On successful completion, the student will be able to:</w:t>
      </w:r>
    </w:p>
    <w:p w14:paraId="000000E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CO1. </w:t>
      </w:r>
      <w:r>
        <w:rPr>
          <w:rFonts w:hint="default" w:ascii="Calibri" w:hAnsi="Calibri" w:cs="Calibri"/>
          <w:rtl w:val="0"/>
        </w:rPr>
        <w:t xml:space="preserve">Analyse financial statements and investor requirements to identify a startup’s funding needs. </w:t>
      </w:r>
    </w:p>
    <w:p w14:paraId="000000F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CO2. </w:t>
      </w:r>
      <w:r>
        <w:rPr>
          <w:rFonts w:hint="default" w:ascii="Calibri" w:hAnsi="Calibri" w:cs="Calibri"/>
          <w:rtl w:val="0"/>
        </w:rPr>
        <w:t xml:space="preserve">Evaluate funding sources, valuation and deal-process choices under stated constraints. </w:t>
      </w:r>
    </w:p>
    <w:p w14:paraId="000000F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CO3. </w:t>
      </w:r>
      <w:r>
        <w:rPr>
          <w:rFonts w:hint="default" w:ascii="Calibri" w:hAnsi="Calibri" w:cs="Calibri"/>
          <w:rtl w:val="0"/>
        </w:rPr>
        <w:t xml:space="preserve">Analyse cash-cycle and value-creation mechanisms in customer-funded models. </w:t>
      </w:r>
    </w:p>
    <w:p w14:paraId="000000F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CO4. </w:t>
      </w:r>
      <w:r>
        <w:rPr>
          <w:rFonts w:hint="default" w:ascii="Calibri" w:hAnsi="Calibri" w:cs="Calibri"/>
          <w:rtl w:val="0"/>
        </w:rPr>
        <w:t xml:space="preserve">Justify a customer-funding approach using viability, growth and failure evidence. </w:t>
      </w:r>
    </w:p>
    <w:p w14:paraId="000000F3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Detailed syllabus</w:t>
      </w:r>
    </w:p>
    <w:p w14:paraId="000000F4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1 Investment readiness</w:t>
      </w:r>
    </w:p>
    <w:p w14:paraId="000000F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Early-stage investment terminology; business-plan quality, investor expectations and organisational form; balance sheet, income and cash-flow statements; interpretation of a proposed venture.</w:t>
      </w:r>
    </w:p>
    <w:p w14:paraId="000000F7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2 Capital and fundraising process</w:t>
      </w:r>
    </w:p>
    <w:p w14:paraId="000000F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Bootstrapping, friends/family, incubators, accelerators, angels and venture capital; finding investors, valuation, due diligence, term sheets, pitching and closing a round.</w:t>
      </w:r>
    </w:p>
    <w:p w14:paraId="000000FA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3 Customer funding foundations</w:t>
      </w:r>
    </w:p>
    <w:p w14:paraId="000000F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Limits and trade-offs of early venture capital; capital efficiency, cash conversion and growth; overview of five customer-funding models.</w:t>
      </w:r>
    </w:p>
    <w:p w14:paraId="000000FD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0000FE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MINOR601K Syllabus and learning resources</w:t>
      </w:r>
    </w:p>
    <w:p w14:paraId="000000FF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4 Marketplaces and advance payments</w:t>
      </w:r>
    </w:p>
    <w:p w14:paraId="0000010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Matchmaker economics, buyer–supplier balance, niche choice and pivoting; pay-in-advance arrangements, customer value and funding gaps; success and failure cases.</w:t>
      </w:r>
    </w:p>
    <w:p w14:paraId="00000102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5 Subscriptions and scarcity</w:t>
      </w:r>
    </w:p>
    <w:p w14:paraId="0000010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Recurring-revenue economics, SaaS, early metrics, scalability and organic growth; scarcity, speed, stock and cash implications; comparison of viable and failed models.</w:t>
      </w:r>
    </w:p>
    <w:p w14:paraId="00000105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6 Services becoming products</w:t>
      </w:r>
    </w:p>
    <w:p w14:paraId="0000010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Customer-financed service-to-product transitions; growth-capital choices; product–market fit and synthesis of an appropriate funding model.</w:t>
      </w:r>
    </w:p>
    <w:p w14:paraId="00000108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Books</w:t>
      </w:r>
    </w:p>
    <w:p w14:paraId="0000010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1. </w:t>
      </w:r>
      <w:r>
        <w:rPr>
          <w:rFonts w:hint="default" w:ascii="Calibri" w:hAnsi="Calibri" w:cs="Calibri"/>
          <w:rtl w:val="0"/>
        </w:rPr>
        <w:t>J. Chris Leach and Ronald W. Melicher. Entrepreneurial Finance. Cengage Learning, 7th edition, 2021 copyright (published 2020).</w:t>
      </w:r>
    </w:p>
    <w:p w14:paraId="0000010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2. </w:t>
      </w:r>
      <w:r>
        <w:rPr>
          <w:rFonts w:hint="default" w:ascii="Calibri" w:hAnsi="Calibri" w:cs="Calibri"/>
          <w:rtl w:val="0"/>
        </w:rPr>
        <w:t>John Mullins. The Customer-Funded Business: Start, Finance, or Grow Your Company with Your Customers’ Cash. John Wiley &amp; Sons, 1st edition, 2014.</w:t>
      </w:r>
    </w:p>
    <w:p w14:paraId="0000010C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Required online courses</w:t>
      </w:r>
    </w:p>
    <w:p w14:paraId="0000010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New Venture Finance: Startup Funding for Entrepreneurs | University of Maryland, College Park; Michael R. Pratt | </w:t>
      </w:r>
    </w:p>
    <w:p w14:paraId="0000010E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"https://www.coursera.org/learn/startup-funding"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https://www.coursera.org/learn/startup-funding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10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How to Finance and Grow Your Startup – Without VC | University of London and London Business School; John Mullins | </w:t>
      </w:r>
    </w:p>
    <w:p w14:paraId="00000110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"https://www.coursera.org/learn/startup-financing-without-vc"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https://www.coursera.org/learn/startup-financing-without-vc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112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000113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MINOR701K Intellectual Property for Entrepreneurial Ventures</w:t>
      </w:r>
    </w:p>
    <w:p w14:paraId="0000011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Semester 7 | 3 credits | Theory | </w:t>
      </w:r>
    </w:p>
    <w:p w14:paraId="00000116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Course objectives</w:t>
      </w:r>
    </w:p>
    <w:p w14:paraId="0000011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To explain how patent, copyright and trademark protection affects entrepreneurial assets. To evaluate protection and infringement issues in supplied cases within the legal framework taught by the provider.</w:t>
      </w:r>
    </w:p>
    <w:p w14:paraId="00000118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Course outcomes</w:t>
      </w:r>
    </w:p>
    <w:p w14:paraId="0000011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On successful completion, the student will be able to:</w:t>
      </w:r>
    </w:p>
    <w:p w14:paraId="0000011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CO1. </w:t>
      </w:r>
      <w:r>
        <w:rPr>
          <w:rFonts w:hint="default" w:ascii="Calibri" w:hAnsi="Calibri" w:cs="Calibri"/>
          <w:rtl w:val="0"/>
        </w:rPr>
        <w:t xml:space="preserve">Apply the taught patentability requirements to a stated invention. </w:t>
      </w:r>
    </w:p>
    <w:p w14:paraId="0000011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CO2. </w:t>
      </w:r>
      <w:r>
        <w:rPr>
          <w:rFonts w:hint="default" w:ascii="Calibri" w:hAnsi="Calibri" w:cs="Calibri"/>
          <w:rtl w:val="0"/>
        </w:rPr>
        <w:t xml:space="preserve">Analyse patent claims and infringement issues in supplied documents. </w:t>
      </w:r>
    </w:p>
    <w:p w14:paraId="0000011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CO3. </w:t>
      </w:r>
      <w:r>
        <w:rPr>
          <w:rFonts w:hint="default" w:ascii="Calibri" w:hAnsi="Calibri" w:cs="Calibri"/>
          <w:rtl w:val="0"/>
        </w:rPr>
        <w:t xml:space="preserve">Evaluate copyright rights and exceptions for a supplied use case. </w:t>
      </w:r>
    </w:p>
    <w:p w14:paraId="0000011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CO4. </w:t>
      </w:r>
      <w:r>
        <w:rPr>
          <w:rFonts w:hint="default" w:ascii="Calibri" w:hAnsi="Calibri" w:cs="Calibri"/>
          <w:rtl w:val="0"/>
        </w:rPr>
        <w:t xml:space="preserve">Justify trademark selection, protection and maintenance choices under stated criteria. </w:t>
      </w:r>
    </w:p>
    <w:p w14:paraId="0000011E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Detailed syllabus</w:t>
      </w:r>
    </w:p>
    <w:p w14:paraId="0000011F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1 Patent foundations and patentability</w:t>
      </w:r>
    </w:p>
    <w:p w14:paraId="0000012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Patent purpose, institutional structure, lifecycle and prosecution; disclosure, novelty, nonobviousness, inventorship, utility and eligible subject matter under the US framework.</w:t>
      </w:r>
    </w:p>
    <w:p w14:paraId="00000122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2 Claims and patent enforcement</w:t>
      </w:r>
    </w:p>
    <w:p w14:paraId="0000012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Claim components, scope and interpretation; infringement, equivalents, avoidance and remedies; analysis of supplied patent cases.</w:t>
      </w:r>
    </w:p>
    <w:p w14:paraId="00000125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3 Copyright foundations and basic rights</w:t>
      </w:r>
    </w:p>
    <w:p w14:paraId="0000012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Expression versus ideas/facts; merger, originality and authorship; reproduction, substantial similarity, software, distribution and first sale.</w:t>
      </w:r>
    </w:p>
    <w:p w14:paraId="00000128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000129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MINOR701K Syllabus and learning resources</w:t>
      </w:r>
    </w:p>
    <w:p w14:paraId="0000012A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4 Copyright rights and limits</w:t>
      </w:r>
    </w:p>
    <w:p w14:paraId="0000012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Adaptation, public performance/display, attribution and integrity; moral rights; ordinary, transformative and technological fair use.</w:t>
      </w:r>
    </w:p>
    <w:p w14:paraId="0000012D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5 Trademark identity and selection</w:t>
      </w:r>
    </w:p>
    <w:p w14:paraId="0000012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Policy, qualifying signs and exclusions; trademarks versus company/domain names; distinctiveness, enforceability, secondary meaning and clearance-search interpretation.</w:t>
      </w:r>
    </w:p>
    <w:p w14:paraId="00000130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6 Trademark protection and maintenance</w:t>
      </w:r>
    </w:p>
    <w:p w14:paraId="0000013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US federal/state registration, application and post-filing stages; marking, policing, maintenance, infringement and cease-and-desist reasoning; written protection strategy.</w:t>
      </w:r>
    </w:p>
    <w:p w14:paraId="00000133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Books</w:t>
      </w:r>
    </w:p>
    <w:p w14:paraId="0000013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1. </w:t>
      </w:r>
      <w:r>
        <w:rPr>
          <w:rFonts w:hint="default" w:ascii="Calibri" w:hAnsi="Calibri" w:cs="Calibri"/>
          <w:rtl w:val="0"/>
        </w:rPr>
        <w:t>Deborah E. Bouchoux. Intellectual Property: The Law of Trademarks, Copyrights, Patents, and Trade Secrets. Cengage Learning, 6th edition, 2024 copyright (published 2023).</w:t>
      </w:r>
    </w:p>
    <w:p w14:paraId="00000135">
      <w:pPr>
        <w:keepLines/>
        <w:jc w:val="both"/>
        <w:rPr>
          <w:rFonts w:hint="default" w:ascii="Calibri" w:hAnsi="Calibri" w:cs="Calibri"/>
        </w:rPr>
      </w:pPr>
    </w:p>
    <w:p w14:paraId="00000136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Required online courses</w:t>
      </w:r>
    </w:p>
    <w:p w14:paraId="0000013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Patent Law | University of Pennsylvania; R. Polk Wagner | </w:t>
      </w:r>
    </w:p>
    <w:p w14:paraId="00000138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"https://www.coursera.org/learn/patents"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https://www.coursera.org/learn/patents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13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Copyright Law | University of Pennsylvania; Shyam Balganesh | </w:t>
      </w:r>
    </w:p>
    <w:p w14:paraId="0000013A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"https://www.coursera.org/learn/copyright-law"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https://www.coursera.org/learn/copyright-law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13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Trademark Law | University of Pennsylvania; Cynthia Dahl | </w:t>
      </w:r>
    </w:p>
    <w:p w14:paraId="0000013C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"https://www.coursera.org/learn/trademark-law"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https://www.coursera.org/learn/trademark-law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13E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00013F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MINOR801K Corporate Innovation Strategy and Venture Investment</w:t>
      </w:r>
    </w:p>
    <w:p w14:paraId="0000014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Semester 8 | 3 credits | Theory | </w:t>
      </w:r>
    </w:p>
    <w:p w14:paraId="00000142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Course objectives</w:t>
      </w:r>
    </w:p>
    <w:p w14:paraId="0000014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To integrate organisational, strategic and financial reasoning for ventures within established firms. To evaluate innovation initiatives, implementation choices and investment proposals under uncertainty.</w:t>
      </w:r>
    </w:p>
    <w:p w14:paraId="00000144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Course outcomes</w:t>
      </w:r>
    </w:p>
    <w:p w14:paraId="0000014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On successful completion, the student will be able to:</w:t>
      </w:r>
    </w:p>
    <w:p w14:paraId="0000014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CO1. </w:t>
      </w:r>
      <w:r>
        <w:rPr>
          <w:rFonts w:hint="default" w:ascii="Calibri" w:hAnsi="Calibri" w:cs="Calibri"/>
          <w:rtl w:val="0"/>
        </w:rPr>
        <w:t xml:space="preserve">Analyse an organisation’s innovation capabilities, structure and culture. </w:t>
      </w:r>
    </w:p>
    <w:p w14:paraId="0000014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CO2. </w:t>
      </w:r>
      <w:r>
        <w:rPr>
          <w:rFonts w:hint="default" w:ascii="Calibri" w:hAnsi="Calibri" w:cs="Calibri"/>
          <w:rtl w:val="0"/>
        </w:rPr>
        <w:t xml:space="preserve">Evaluate innovation-team and portfolio choices under stated strategic conditions. </w:t>
      </w:r>
    </w:p>
    <w:p w14:paraId="0000014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CO3. </w:t>
      </w:r>
      <w:r>
        <w:rPr>
          <w:rFonts w:hint="default" w:ascii="Calibri" w:hAnsi="Calibri" w:cs="Calibri"/>
          <w:rtl w:val="0"/>
        </w:rPr>
        <w:t xml:space="preserve">Justify planning, collaboration and learning approaches for uncertain initiatives. </w:t>
      </w:r>
    </w:p>
    <w:p w14:paraId="0000014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CO4. </w:t>
      </w:r>
      <w:r>
        <w:rPr>
          <w:rFonts w:hint="default" w:ascii="Calibri" w:hAnsi="Calibri" w:cs="Calibri"/>
          <w:rtl w:val="0"/>
        </w:rPr>
        <w:t xml:space="preserve">Evaluate a corporate-venture investment using financial and strategic criteria. </w:t>
      </w:r>
    </w:p>
    <w:p w14:paraId="0000014A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Detailed syllabus</w:t>
      </w:r>
    </w:p>
    <w:p w14:paraId="0000014B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1 Innovation capabilities and structures</w:t>
      </w:r>
    </w:p>
    <w:p w14:paraId="0000014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Innovation types and levels; internal capability audits, technological uncertainty and associative thinking; creative and implementation roles, process structures and venture units.</w:t>
      </w:r>
    </w:p>
    <w:p w14:paraId="0000014E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2 Culture and innovation strategy</w:t>
      </w:r>
    </w:p>
    <w:p w14:paraId="0000014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Knowledge, feasibility, value, benchmarking and tournaments; portfolios, disruption, blue-ocean reasoning, lead users and open innovation; written venture roadmap.</w:t>
      </w:r>
    </w:p>
    <w:p w14:paraId="00000151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3 Managing innovation initiatives</w:t>
      </w:r>
    </w:p>
    <w:p w14:paraId="0000015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Technology and market evolution; organisational success/failure and ambidexterity; heavyweight development teams, innovation streams and strategic choices.</w:t>
      </w:r>
    </w:p>
    <w:p w14:paraId="00000154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000155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MINOR801K Syllabus and learning resources</w:t>
      </w:r>
    </w:p>
    <w:p w14:paraId="0000015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4 Uncertainty and organisational boundaries</w:t>
      </w:r>
    </w:p>
    <w:p w14:paraId="0000015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Experimentation and learning; planning, evaluation and agile control; virtual firms, alliances, joint ventures and corporate entrepreneurship.</w:t>
      </w:r>
    </w:p>
    <w:p w14:paraId="00000159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5 Corporate venture economics</w:t>
      </w:r>
    </w:p>
    <w:p w14:paraId="0000015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Corporate versus startup finance; ROI and intangible assets; statements, customer-acquisition cost and lifetime value; NPV, opportunity cost, payback, IRR and WACC.</w:t>
      </w:r>
    </w:p>
    <w:p w14:paraId="0000015C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Module 6 Funding and investment proposals</w:t>
      </w:r>
    </w:p>
    <w:p w14:paraId="0000015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Internal funding, customer/vendor finance, franchising, joint ventures, co-branding and licensing; proposal content, funder expectations and pitch-deck reasoning.</w:t>
      </w:r>
    </w:p>
    <w:p w14:paraId="0000015F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Books</w:t>
      </w:r>
    </w:p>
    <w:p w14:paraId="0000016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1. </w:t>
      </w:r>
      <w:r>
        <w:rPr>
          <w:rFonts w:hint="default" w:ascii="Calibri" w:hAnsi="Calibri" w:cs="Calibri"/>
          <w:rtl w:val="0"/>
        </w:rPr>
        <w:t>Joe Tidd and John R. Bessant. Managing Innovation: Integrating Technological, Market and Organizational Change. John Wiley &amp; Sons, 7th edition, 2021 copyright (published 2020).</w:t>
      </w:r>
    </w:p>
    <w:p w14:paraId="0000016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  <w:bCs/>
          <w:rtl w:val="0"/>
        </w:rPr>
        <w:t xml:space="preserve">2. </w:t>
      </w:r>
      <w:r>
        <w:rPr>
          <w:rFonts w:hint="default" w:ascii="Calibri" w:hAnsi="Calibri" w:cs="Calibri"/>
          <w:rtl w:val="0"/>
        </w:rPr>
        <w:t>J. Chris Leach and Ronald W. Melicher. Entrepreneurial Finance. Cengage Learning, 7th edition, 2021 copyright (published 2020).</w:t>
      </w:r>
    </w:p>
    <w:p w14:paraId="00000163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>Required online courses</w:t>
      </w:r>
    </w:p>
    <w:p w14:paraId="0000016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Crafting Strategies for Innovation Initiatives for Corporate Entrepreneurs | University of Maryland, College Park; Thomas J. Mierzwa | </w:t>
      </w:r>
    </w:p>
    <w:p w14:paraId="00000165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"https://www.coursera.org/learn/corporate-entrepreneurs-innovation-strategy"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https://www.coursera.org/learn/corporate-entrepreneurs-innovation-strategy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16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Strategic Innovation: Managing Innovation Initiatives | University of Illinois Urbana-Champaign; E. Geoffrey Love |  </w:t>
      </w:r>
    </w:p>
    <w:p w14:paraId="00000167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"https://www.coursera.org/learn/strategic-innovation-innovation-at-the-frontier"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https://www.coursera.org/learn/strategic-innovation-innovation-at-the-frontier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</w:p>
    <w:p w14:paraId="0000016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rtl w:val="0"/>
        </w:rPr>
        <w:t xml:space="preserve">Financing and Profiting from Innovation for Corporate Entrepreneurs | University of Maryland, College Park; Michael R. Pratt | </w:t>
      </w:r>
    </w:p>
    <w:p w14:paraId="000001A7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"https://www.coursera.org/learn/corporate-entrepreneurs-financing"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t>https://www.coursera.org/learn/corporate-entrepreneurs-financing</w:t>
      </w:r>
      <w:r>
        <w:rPr>
          <w:rFonts w:hint="default" w:ascii="Calibri" w:hAnsi="Calibri" w:cs="Calibri"/>
          <w:color w:val="174A75"/>
          <w:sz w:val="20"/>
          <w:szCs w:val="20"/>
          <w:rtl w:val="0"/>
        </w:rPr>
        <w:fldChar w:fldCharType="end"/>
      </w:r>
      <w:bookmarkStart w:id="0" w:name="_GoBack"/>
      <w:bookmarkEnd w:id="0"/>
    </w:p>
    <w:sectPr>
      <w:footerReference r:id="rId5" w:type="default"/>
      <w:pgSz w:w="11906" w:h="16838"/>
      <w:pgMar w:top="1020" w:right="1134" w:bottom="1020" w:left="1134" w:header="720" w:footer="454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EDB3384B-ED96-48E8-8AA5-340708393B32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FFAC7FF1-3661-41C2-86DB-367F1160255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729D54B-097D-4101-8B07-264DB585001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66A74BC3-6020-41A2-8545-C5553265767E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A8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80"/>
        <w:tab w:val="right" w:pos="9360"/>
      </w:tabs>
      <w:spacing w:before="0" w:after="0" w:line="240" w:lineRule="auto"/>
      <w:ind w:left="0" w:right="0" w:firstLine="0"/>
      <w:jc w:val="center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  <w:rtl w:val="0"/>
      </w:rPr>
      <w:t xml:space="preserve">Page </w:t>
    </w:r>
    <w: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begin"/>
    </w:r>
    <w: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instrText xml:space="preserve">PAGE</w:instrText>
    </w:r>
    <w: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separate"/>
    </w:r>
    <w: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0" w:lineRule="auto"/>
      </w:pPr>
      <w:r>
        <w:separator/>
      </w:r>
    </w:p>
  </w:footnote>
  <w:footnote w:type="continuationSeparator" w:id="1">
    <w:p>
      <w:pPr>
        <w:spacing w:before="0" w:after="0" w:line="25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04B3FD8"/>
    <w:rsid w:val="014816F5"/>
    <w:rsid w:val="01BE3BEC"/>
    <w:rsid w:val="021A2C80"/>
    <w:rsid w:val="02707D53"/>
    <w:rsid w:val="03FF761E"/>
    <w:rsid w:val="05DE1000"/>
    <w:rsid w:val="09585107"/>
    <w:rsid w:val="09670379"/>
    <w:rsid w:val="0CC335FF"/>
    <w:rsid w:val="0E134225"/>
    <w:rsid w:val="0E1C2936"/>
    <w:rsid w:val="0ED87D67"/>
    <w:rsid w:val="0F5237D2"/>
    <w:rsid w:val="0F7F45C1"/>
    <w:rsid w:val="10B92C9E"/>
    <w:rsid w:val="134B5AB7"/>
    <w:rsid w:val="153E3968"/>
    <w:rsid w:val="15ED3077"/>
    <w:rsid w:val="1716356E"/>
    <w:rsid w:val="19E5590B"/>
    <w:rsid w:val="1F9D516C"/>
    <w:rsid w:val="1FA4037A"/>
    <w:rsid w:val="1FE1495C"/>
    <w:rsid w:val="204E750E"/>
    <w:rsid w:val="24D4382A"/>
    <w:rsid w:val="250B3654"/>
    <w:rsid w:val="266E0D1D"/>
    <w:rsid w:val="2C0525C8"/>
    <w:rsid w:val="2E0D0F34"/>
    <w:rsid w:val="2F9C320D"/>
    <w:rsid w:val="2FAB0996"/>
    <w:rsid w:val="313F5CD8"/>
    <w:rsid w:val="320B4127"/>
    <w:rsid w:val="33CB4108"/>
    <w:rsid w:val="37D529A9"/>
    <w:rsid w:val="39E713E1"/>
    <w:rsid w:val="3E2C55C2"/>
    <w:rsid w:val="3E5541D1"/>
    <w:rsid w:val="41F33743"/>
    <w:rsid w:val="42BD668F"/>
    <w:rsid w:val="42D7414F"/>
    <w:rsid w:val="45EC42C8"/>
    <w:rsid w:val="47831DE0"/>
    <w:rsid w:val="48D17504"/>
    <w:rsid w:val="4D7F46B4"/>
    <w:rsid w:val="4E3B5B69"/>
    <w:rsid w:val="4ECC0AD3"/>
    <w:rsid w:val="4F136CC9"/>
    <w:rsid w:val="516D7E41"/>
    <w:rsid w:val="52C6295D"/>
    <w:rsid w:val="53896E88"/>
    <w:rsid w:val="56B7174F"/>
    <w:rsid w:val="58A46B7A"/>
    <w:rsid w:val="59BB1BC6"/>
    <w:rsid w:val="5AFD12A8"/>
    <w:rsid w:val="5BB167FD"/>
    <w:rsid w:val="5D094830"/>
    <w:rsid w:val="5DD21CFB"/>
    <w:rsid w:val="604840BC"/>
    <w:rsid w:val="618D02F7"/>
    <w:rsid w:val="61D14789"/>
    <w:rsid w:val="642D083A"/>
    <w:rsid w:val="6DE6435A"/>
    <w:rsid w:val="6E1041E0"/>
    <w:rsid w:val="6FCB457A"/>
    <w:rsid w:val="73922834"/>
    <w:rsid w:val="76091AB6"/>
    <w:rsid w:val="79113FAC"/>
    <w:rsid w:val="796B33C1"/>
    <w:rsid w:val="7C950E2A"/>
    <w:rsid w:val="7E2120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iPriority="99" w:semiHidden="0" w:name="macro"/>
    <w:lsdException w:unhideWhenUsed="0" w:uiPriority="0" w:semiHidden="0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nhideWhenUsed="0" w:uiPriority="0" w:semiHidden="0" w:name="List 4"/>
    <w:lsdException w:unhideWhenUsed="0" w:uiPriority="0" w:semiHidden="0" w:name="List 5"/>
    <w:lsdException w:uiPriority="99" w:semiHidden="0" w:name="List Bullet 2"/>
    <w:lsdException w:uiPriority="99" w:semiHidden="0" w:name="List Bullet 3"/>
    <w:lsdException w:unhideWhenUsed="0" w:uiPriority="0" w:semiHidden="0" w:name="List Bullet 4"/>
    <w:lsdException w:unhideWhenUsed="0" w:uiPriority="0" w:semiHidden="0" w:name="List Bullet 5"/>
    <w:lsdException w:uiPriority="99" w:semiHidden="0" w:name="List Number 2"/>
    <w:lsdException w:uiPriority="99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iPriority="99" w:semiHidden="0" w:name="Body Text"/>
    <w:lsdException w:unhideWhenUsed="0" w:uiPriority="0" w:semiHidden="0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iPriority="99" w:semiHidden="0" w:name="Body Text 2"/>
    <w:lsdException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after="100" w:line="250" w:lineRule="auto"/>
    </w:pPr>
    <w:rPr>
      <w:rFonts w:ascii="Arial" w:hAnsi="Arial" w:eastAsia="Arial" w:cs="Arial"/>
      <w:sz w:val="22"/>
      <w:szCs w:val="22"/>
      <w:lang w:val="en"/>
    </w:rPr>
  </w:style>
  <w:style w:type="paragraph" w:styleId="2">
    <w:name w:val="heading 1"/>
    <w:basedOn w:val="1"/>
    <w:next w:val="1"/>
    <w:link w:val="139"/>
    <w:qFormat/>
    <w:uiPriority w:val="0"/>
    <w:pPr>
      <w:keepNext/>
      <w:keepLines/>
      <w:spacing w:before="180" w:after="12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140"/>
    <w:qFormat/>
    <w:uiPriority w:val="0"/>
    <w:pPr>
      <w:keepNext/>
      <w:keepLines/>
      <w:spacing w:before="180" w:after="120"/>
    </w:pPr>
    <w:rPr>
      <w:rFonts w:ascii="Arial" w:hAnsi="Arial" w:eastAsia="Arial" w:cs="Arial"/>
      <w:b/>
      <w:bCs/>
      <w:color w:val="000000"/>
      <w:sz w:val="24"/>
      <w:szCs w:val="24"/>
    </w:rPr>
  </w:style>
  <w:style w:type="paragraph" w:styleId="4">
    <w:name w:val="heading 3"/>
    <w:basedOn w:val="1"/>
    <w:next w:val="1"/>
    <w:link w:val="141"/>
    <w:qFormat/>
    <w:uiPriority w:val="0"/>
    <w:pPr>
      <w:keepNext/>
      <w:keepLines/>
      <w:spacing w:before="180" w:after="120"/>
    </w:pPr>
    <w:rPr>
      <w:rFonts w:ascii="Arial" w:hAnsi="Arial" w:eastAsia="Arial" w:cs="Arial"/>
      <w:b/>
      <w:bCs/>
      <w:color w:val="000000"/>
      <w:sz w:val="22"/>
      <w:szCs w:val="22"/>
    </w:rPr>
  </w:style>
  <w:style w:type="paragraph" w:styleId="5">
    <w:name w:val="heading 4"/>
    <w:basedOn w:val="1"/>
    <w:next w:val="1"/>
    <w:link w:val="151"/>
    <w:qFormat/>
    <w:uiPriority w:val="0"/>
    <w:pPr>
      <w:keepNext/>
      <w:keepLines/>
      <w:spacing w:before="200" w:after="0"/>
    </w:pPr>
    <w:rPr>
      <w:rFonts w:ascii="Calibri" w:hAnsi="Calibri" w:eastAsia="Calibri" w:cs="Calibri"/>
      <w:b/>
      <w:bCs/>
      <w:i/>
      <w:iCs/>
      <w:color w:val="4F81BD"/>
    </w:rPr>
  </w:style>
  <w:style w:type="paragraph" w:styleId="6">
    <w:name w:val="heading 5"/>
    <w:basedOn w:val="1"/>
    <w:next w:val="1"/>
    <w:link w:val="152"/>
    <w:uiPriority w:val="0"/>
    <w:pPr>
      <w:keepNext/>
      <w:keepLines/>
      <w:spacing w:before="200" w:after="0"/>
    </w:pPr>
    <w:rPr>
      <w:rFonts w:ascii="Calibri" w:hAnsi="Calibri" w:eastAsia="Calibri" w:cs="Calibri"/>
      <w:color w:val="243F61"/>
    </w:rPr>
  </w:style>
  <w:style w:type="paragraph" w:styleId="7">
    <w:name w:val="heading 6"/>
    <w:basedOn w:val="1"/>
    <w:next w:val="1"/>
    <w:link w:val="153"/>
    <w:uiPriority w:val="0"/>
    <w:pPr>
      <w:keepNext/>
      <w:keepLines/>
      <w:spacing w:before="200" w:after="0"/>
    </w:pPr>
    <w:rPr>
      <w:rFonts w:ascii="Calibri" w:hAnsi="Calibri" w:eastAsia="Calibri" w:cs="Calibri"/>
      <w:i/>
      <w:iCs/>
      <w:color w:val="243F61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uiPriority w:val="99"/>
    <w:pPr>
      <w:spacing w:after="120"/>
    </w:pPr>
  </w:style>
  <w:style w:type="paragraph" w:styleId="14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contextualSpacing/>
    </w:pPr>
  </w:style>
  <w:style w:type="paragraph" w:styleId="24">
    <w:name w:val="List Bullet 2"/>
    <w:basedOn w:val="1"/>
    <w:unhideWhenUsed/>
    <w:uiPriority w:val="99"/>
    <w:pPr>
      <w:contextualSpacing/>
    </w:pPr>
  </w:style>
  <w:style w:type="paragraph" w:styleId="25">
    <w:name w:val="List Bullet 3"/>
    <w:basedOn w:val="1"/>
    <w:unhideWhenUsed/>
    <w:uiPriority w:val="99"/>
    <w:p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contextualSpacing/>
    </w:pPr>
  </w:style>
  <w:style w:type="paragraph" w:styleId="30">
    <w:name w:val="List Number 2"/>
    <w:basedOn w:val="1"/>
    <w:unhideWhenUsed/>
    <w:uiPriority w:val="99"/>
    <w:pPr>
      <w:contextualSpacing/>
    </w:pPr>
  </w:style>
  <w:style w:type="paragraph" w:styleId="31">
    <w:name w:val="List Number 3"/>
    <w:basedOn w:val="1"/>
    <w:unhideWhenUsed/>
    <w:uiPriority w:val="99"/>
    <w:pPr>
      <w:contextualSpacing/>
    </w:pPr>
  </w:style>
  <w:style w:type="paragraph" w:styleId="3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100" w:line="250" w:lineRule="auto"/>
    </w:pPr>
    <w:rPr>
      <w:rFonts w:ascii="Courier" w:hAnsi="Courier" w:eastAsia="Arial" w:cs="Arial"/>
      <w:sz w:val="20"/>
      <w:szCs w:val="20"/>
      <w:lang w:val="en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uiPriority w:val="0"/>
    <w:rPr>
      <w:rFonts w:ascii="Calibri" w:hAnsi="Calibri" w:eastAsia="Calibri" w:cs="Calibri"/>
      <w:i/>
      <w:iCs/>
      <w:color w:val="4F81BD"/>
      <w:sz w:val="24"/>
      <w:szCs w:val="24"/>
    </w:rPr>
  </w:style>
  <w:style w:type="table" w:styleId="35">
    <w:name w:val="Table Grid"/>
    <w:basedOn w:val="36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37">
    <w:name w:val="Title"/>
    <w:basedOn w:val="1"/>
    <w:next w:val="1"/>
    <w:link w:val="142"/>
    <w:uiPriority w:val="0"/>
    <w:pPr>
      <w:spacing w:after="120" w:line="240" w:lineRule="auto"/>
    </w:pPr>
    <w:rPr>
      <w:rFonts w:ascii="Arial" w:hAnsi="Arial" w:eastAsia="Arial" w:cs="Arial"/>
      <w:b/>
      <w:bCs/>
      <w:color w:val="000000"/>
      <w:sz w:val="40"/>
      <w:szCs w:val="40"/>
    </w:rPr>
  </w:style>
  <w:style w:type="table" w:styleId="38">
    <w:name w:val="Light Shading"/>
    <w:basedOn w:val="36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36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36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36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36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36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36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36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36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36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36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36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36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36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36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36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36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36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36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36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36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36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36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36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36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36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36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36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36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36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36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36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36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36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36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36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36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36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36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36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36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36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36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36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11"/>
    <w:link w:val="19"/>
    <w:uiPriority w:val="99"/>
  </w:style>
  <w:style w:type="character" w:customStyle="1" w:styleId="137">
    <w:name w:val="Footer Char"/>
    <w:basedOn w:val="11"/>
    <w:link w:val="18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="Arial" w:hAnsi="Arial" w:eastAsia="Arial" w:cs="Arial"/>
      <w:sz w:val="22"/>
      <w:szCs w:val="22"/>
      <w:lang w:val="en"/>
    </w:rPr>
  </w:style>
  <w:style w:type="character" w:customStyle="1" w:styleId="139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1"/>
    <w:link w:val="3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1"/>
    <w:link w:val="13"/>
    <w:uiPriority w:val="99"/>
  </w:style>
  <w:style w:type="character" w:customStyle="1" w:styleId="146">
    <w:name w:val="Body Text 2 Char"/>
    <w:basedOn w:val="11"/>
    <w:link w:val="14"/>
    <w:uiPriority w:val="99"/>
  </w:style>
  <w:style w:type="character" w:customStyle="1" w:styleId="147">
    <w:name w:val="Body Text 3 Char"/>
    <w:basedOn w:val="11"/>
    <w:link w:val="15"/>
    <w:uiPriority w:val="99"/>
    <w:rPr>
      <w:sz w:val="16"/>
      <w:szCs w:val="16"/>
    </w:rPr>
  </w:style>
  <w:style w:type="character" w:customStyle="1" w:styleId="148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1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1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  <w:style w:type="table" w:customStyle="1" w:styleId="165">
    <w:name w:val="_Style 164"/>
    <w:basedOn w:val="36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6">
    <w:name w:val="_Style 165"/>
    <w:basedOn w:val="36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7">
    <w:name w:val="_Style 166"/>
    <w:basedOn w:val="36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p2sHRX1fyIDSm6NeIrFZndl6gA==">CgMxLjA4AHIhMUw0TEUtNUlrc21aQUJsaWRGV3BjLTRIRDEweXFHVTE0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4510</Words>
  <Characters>30036</Characters>
  <TotalTime>3</TotalTime>
  <ScaleCrop>false</ScaleCrop>
  <LinksUpToDate>false</LinksUpToDate>
  <CharactersWithSpaces>34173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ARINDAM</dc:creator>
  <cp:lastModifiedBy>Arindam Deb</cp:lastModifiedBy>
  <dcterms:modified xsi:type="dcterms:W3CDTF">2026-10-01T05:46:30Z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eyJoZGlkIjoiNzYxMDJjODMyMWEyNzk3NWJmZGY2YjMwZjQ1OGI3ZjUiLCJ1c2VySWQiOiI1Njc0NjU2MTUzNDMifQ==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87DEBDA172464760945C98BEE04D63FC_12</vt:lpwstr>
  </property>
</Properties>
</file>